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BF" w:rsidRPr="00CF14D7" w:rsidRDefault="005F53BF" w:rsidP="00CF14D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</w:pPr>
      <w:r w:rsidRPr="00CF14D7"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  <w:t>Успешный старт</w:t>
      </w:r>
    </w:p>
    <w:p w:rsidR="005F53BF" w:rsidRPr="00065F25" w:rsidRDefault="005F53BF" w:rsidP="00CF14D7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b/>
          <w:bCs/>
          <w:color w:val="414141"/>
          <w:szCs w:val="30"/>
          <w:lang w:eastAsia="ru-RU"/>
        </w:rPr>
        <w:t>Требования к участникам</w:t>
      </w:r>
    </w:p>
    <w:p w:rsidR="005F53BF" w:rsidRPr="00065F25" w:rsidRDefault="005F53BF" w:rsidP="00CF14D7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</w:t>
      </w:r>
      <w:r w:rsidR="00CF14D7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5F53BF" w:rsidRPr="00065F25" w:rsidRDefault="005F53BF" w:rsidP="00CF14D7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Со дня государственной регистрации участников конкурса до года проведения конкурса должно пройти не менее двух и не более</w:t>
      </w:r>
      <w:r w:rsidR="00065F25" w:rsidRPr="00065F25">
        <w:rPr>
          <w:rFonts w:eastAsia="Times New Roman" w:cs="Times New Roman"/>
          <w:color w:val="414141"/>
          <w:szCs w:val="30"/>
          <w:lang w:eastAsia="ru-RU"/>
        </w:rPr>
        <w:t xml:space="preserve"> четырех календарных лет</w:t>
      </w:r>
      <w:bookmarkStart w:id="0" w:name="_GoBack"/>
      <w:bookmarkEnd w:id="0"/>
      <w:r w:rsidR="00CF14D7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5F53BF" w:rsidRPr="00065F25" w:rsidRDefault="005F53BF" w:rsidP="00CF14D7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Autospacing="1" w:afterAutospacing="1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b/>
          <w:bCs/>
          <w:color w:val="414141"/>
          <w:szCs w:val="30"/>
          <w:lang w:eastAsia="ru-RU"/>
        </w:rPr>
        <w:t>До 1 июня</w:t>
      </w:r>
      <w:r w:rsidR="00CF14D7">
        <w:rPr>
          <w:rFonts w:eastAsia="Times New Roman" w:cs="Times New Roman"/>
          <w:color w:val="414141"/>
          <w:szCs w:val="30"/>
          <w:lang w:eastAsia="ru-RU"/>
        </w:rPr>
        <w:t xml:space="preserve"> </w:t>
      </w:r>
      <w:r w:rsidRPr="00065F25">
        <w:rPr>
          <w:rFonts w:eastAsia="Times New Roman" w:cs="Times New Roman"/>
          <w:color w:val="414141"/>
          <w:szCs w:val="30"/>
          <w:lang w:eastAsia="ru-RU"/>
        </w:rPr>
        <w:t>необходимо представить в горисполкомы, райисполкомы, администрации районов г. Минска по месту нахождения </w:t>
      </w:r>
      <w:r w:rsidRPr="00065F25">
        <w:rPr>
          <w:rFonts w:eastAsia="Times New Roman" w:cs="Times New Roman"/>
          <w:b/>
          <w:bCs/>
          <w:i/>
          <w:iCs/>
          <w:color w:val="414141"/>
          <w:szCs w:val="30"/>
          <w:lang w:eastAsia="ru-RU"/>
        </w:rPr>
        <w:t> </w:t>
      </w:r>
      <w:hyperlink r:id="rId5" w:tgtFrame="_blank" w:tooltip="заявка на участие" w:history="1">
        <w:r w:rsidRPr="00065F25">
          <w:rPr>
            <w:rFonts w:eastAsia="Times New Roman" w:cs="Times New Roman"/>
            <w:b/>
            <w:bCs/>
            <w:color w:val="414141"/>
            <w:szCs w:val="30"/>
            <w:u w:val="single"/>
            <w:lang w:eastAsia="ru-RU"/>
          </w:rPr>
          <w:t>заявку</w:t>
        </w:r>
      </w:hyperlink>
      <w:r w:rsidRPr="00065F25">
        <w:rPr>
          <w:rFonts w:eastAsia="Times New Roman" w:cs="Times New Roman"/>
          <w:color w:val="414141"/>
          <w:szCs w:val="30"/>
          <w:lang w:eastAsia="ru-RU"/>
        </w:rPr>
        <w:t> </w:t>
      </w:r>
      <w:r w:rsidRPr="00065F25">
        <w:rPr>
          <w:rFonts w:eastAsia="Times New Roman" w:cs="Times New Roman"/>
          <w:b/>
          <w:bCs/>
          <w:i/>
          <w:iCs/>
          <w:color w:val="414141"/>
          <w:szCs w:val="30"/>
          <w:lang w:eastAsia="ru-RU"/>
        </w:rPr>
        <w:t> </w:t>
      </w:r>
      <w:r w:rsidRPr="00065F25">
        <w:rPr>
          <w:rFonts w:eastAsia="Times New Roman" w:cs="Times New Roman"/>
          <w:color w:val="414141"/>
          <w:szCs w:val="30"/>
          <w:lang w:eastAsia="ru-RU"/>
        </w:rPr>
        <w:t>на участие в конкурсе. </w:t>
      </w:r>
    </w:p>
    <w:p w:rsidR="005F53BF" w:rsidRPr="00065F25" w:rsidRDefault="005F53BF" w:rsidP="00CF14D7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b/>
          <w:bCs/>
          <w:color w:val="414141"/>
          <w:szCs w:val="30"/>
          <w:lang w:eastAsia="ru-RU"/>
        </w:rPr>
        <w:t>Не могут принимать участие в конкурсе:</w:t>
      </w:r>
    </w:p>
    <w:p w:rsidR="005F53BF" w:rsidRPr="00065F25" w:rsidRDefault="005F53BF" w:rsidP="00065F25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профессиональные участники рынка ценных бумаг; </w:t>
      </w:r>
    </w:p>
    <w:p w:rsidR="005F53BF" w:rsidRPr="00065F25" w:rsidRDefault="005F53BF" w:rsidP="00065F25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субъекты естественных монополий; </w:t>
      </w:r>
    </w:p>
    <w:p w:rsidR="005F53BF" w:rsidRPr="00065F25" w:rsidRDefault="005F53BF" w:rsidP="00065F25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 xml:space="preserve">юридические лица, находящиеся в процессе реорганизации, либо </w:t>
      </w:r>
      <w:r w:rsidR="00065F25">
        <w:rPr>
          <w:rFonts w:eastAsia="Times New Roman" w:cs="Times New Roman"/>
          <w:color w:val="414141"/>
          <w:szCs w:val="30"/>
          <w:lang w:eastAsia="ru-RU"/>
        </w:rPr>
        <w:br/>
      </w:r>
      <w:r w:rsidRPr="00065F25">
        <w:rPr>
          <w:rFonts w:eastAsia="Times New Roman" w:cs="Times New Roman"/>
          <w:color w:val="414141"/>
          <w:szCs w:val="30"/>
          <w:lang w:eastAsia="ru-RU"/>
        </w:rPr>
        <w:t>в отношении которых возбуждено производство по делу об экономической несостоятельности (банкротстве), либо основными видами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 </w:t>
      </w:r>
    </w:p>
    <w:p w:rsidR="005F53BF" w:rsidRPr="00065F25" w:rsidRDefault="005F53BF" w:rsidP="00065F25">
      <w:pPr>
        <w:numPr>
          <w:ilvl w:val="0"/>
          <w:numId w:val="2"/>
        </w:numPr>
        <w:shd w:val="clear" w:color="auto" w:fill="FFFFFF"/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юридические лица, представители которых являются членами организационного комитета конкурса; </w:t>
      </w:r>
    </w:p>
    <w:p w:rsidR="005F53BF" w:rsidRPr="00065F25" w:rsidRDefault="005F53BF" w:rsidP="00065F25">
      <w:pPr>
        <w:numPr>
          <w:ilvl w:val="0"/>
          <w:numId w:val="2"/>
        </w:numPr>
        <w:shd w:val="clear" w:color="auto" w:fill="FFFFFF"/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65F25">
        <w:rPr>
          <w:rFonts w:eastAsia="Times New Roman" w:cs="Times New Roman"/>
          <w:color w:val="414141"/>
          <w:szCs w:val="30"/>
          <w:lang w:eastAsia="ru-RU"/>
        </w:rPr>
        <w:t>индивидуальные предприниматели.</w:t>
      </w:r>
    </w:p>
    <w:p w:rsidR="00C94B2B" w:rsidRPr="00065F25" w:rsidRDefault="00C94B2B" w:rsidP="00065F25">
      <w:pPr>
        <w:ind w:firstLine="709"/>
        <w:jc w:val="both"/>
        <w:rPr>
          <w:rFonts w:cs="Times New Roman"/>
          <w:szCs w:val="30"/>
        </w:rPr>
      </w:pPr>
    </w:p>
    <w:sectPr w:rsidR="00C94B2B" w:rsidRPr="00065F25" w:rsidSect="00871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76822"/>
    <w:multiLevelType w:val="multilevel"/>
    <w:tmpl w:val="51D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B6C6F"/>
    <w:multiLevelType w:val="multilevel"/>
    <w:tmpl w:val="5B1E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F"/>
    <w:rsid w:val="00065F25"/>
    <w:rsid w:val="004D0163"/>
    <w:rsid w:val="005F53BF"/>
    <w:rsid w:val="0087161F"/>
    <w:rsid w:val="00C94B2B"/>
    <w:rsid w:val="00C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EBFDF-93AB-4193-8326-B7730B62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3B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3B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53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bizKonk-txt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ACDE62ED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Алиса Игоревна</dc:creator>
  <cp:keywords/>
  <dc:description/>
  <cp:lastModifiedBy>Наталья Кручек</cp:lastModifiedBy>
  <cp:revision>6</cp:revision>
  <dcterms:created xsi:type="dcterms:W3CDTF">2022-03-17T09:45:00Z</dcterms:created>
  <dcterms:modified xsi:type="dcterms:W3CDTF">2025-03-26T05:51:00Z</dcterms:modified>
</cp:coreProperties>
</file>