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EE" w:rsidRDefault="00F15AEE" w:rsidP="00AF07CD">
      <w:pPr>
        <w:jc w:val="both"/>
        <w:rPr>
          <w:sz w:val="3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1"/>
        <w:gridCol w:w="4818"/>
      </w:tblGrid>
      <w:tr w:rsidR="002F75EB" w:rsidRPr="00973357" w:rsidTr="003313D9">
        <w:trPr>
          <w:trHeight w:val="329"/>
        </w:trPr>
        <w:tc>
          <w:tcPr>
            <w:tcW w:w="5071" w:type="dxa"/>
          </w:tcPr>
          <w:p w:rsidR="002F75EB" w:rsidRPr="00973357" w:rsidRDefault="002F75EB" w:rsidP="003313D9">
            <w:pPr>
              <w:spacing w:line="180" w:lineRule="exact"/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818" w:type="dxa"/>
          </w:tcPr>
          <w:p w:rsidR="002F75EB" w:rsidRPr="005273DF" w:rsidRDefault="002F75EB" w:rsidP="003313D9">
            <w:pPr>
              <w:rPr>
                <w:sz w:val="16"/>
                <w:szCs w:val="16"/>
              </w:rPr>
            </w:pPr>
          </w:p>
        </w:tc>
      </w:tr>
    </w:tbl>
    <w:p w:rsidR="00823928" w:rsidRPr="00823928" w:rsidRDefault="00823928" w:rsidP="00823928">
      <w:pPr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30"/>
          <w:szCs w:val="30"/>
        </w:rPr>
      </w:pPr>
      <w:r w:rsidRPr="00823928">
        <w:rPr>
          <w:rFonts w:ascii="TimesNewRomanPSMT" w:hAnsi="TimesNewRomanPSMT" w:cs="TimesNewRomanPSMT"/>
          <w:b/>
          <w:sz w:val="30"/>
          <w:szCs w:val="30"/>
        </w:rPr>
        <w:t>Информация экспортерам осуществляющим экспорт</w:t>
      </w:r>
      <w:r w:rsidR="003347FB">
        <w:rPr>
          <w:rFonts w:ascii="TimesNewRomanPSMT" w:hAnsi="TimesNewRomanPSMT" w:cs="TimesNewRomanPSMT"/>
          <w:b/>
          <w:sz w:val="30"/>
          <w:szCs w:val="30"/>
        </w:rPr>
        <w:t xml:space="preserve"> антисептиков и дезин</w:t>
      </w:r>
      <w:r w:rsidR="00E047EC">
        <w:rPr>
          <w:rFonts w:ascii="TimesNewRomanPSMT" w:hAnsi="TimesNewRomanPSMT" w:cs="TimesNewRomanPSMT"/>
          <w:b/>
          <w:sz w:val="30"/>
          <w:szCs w:val="30"/>
        </w:rPr>
        <w:t xml:space="preserve">фицирующих средств; велосипедов и велосипедных рам; икры осетровых и лососевых в Российскую </w:t>
      </w:r>
      <w:r w:rsidRPr="00823928">
        <w:rPr>
          <w:rFonts w:ascii="TimesNewRomanPSMT" w:hAnsi="TimesNewRomanPSMT" w:cs="TimesNewRomanPSMT"/>
          <w:b/>
          <w:sz w:val="30"/>
          <w:szCs w:val="30"/>
        </w:rPr>
        <w:t>Федерацию</w:t>
      </w:r>
    </w:p>
    <w:p w:rsidR="00823928" w:rsidRPr="00823928" w:rsidRDefault="00823928" w:rsidP="00823928">
      <w:pPr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30"/>
          <w:szCs w:val="30"/>
        </w:rPr>
      </w:pPr>
    </w:p>
    <w:p w:rsidR="00E047EC" w:rsidRPr="00E047EC" w:rsidRDefault="00823928" w:rsidP="00E047EC">
      <w:pPr>
        <w:autoSpaceDE w:val="0"/>
        <w:autoSpaceDN w:val="0"/>
        <w:adjustRightInd w:val="0"/>
        <w:ind w:firstLine="709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sz w:val="30"/>
          <w:szCs w:val="30"/>
        </w:rPr>
        <w:t xml:space="preserve">Министерство по налогам и сборам информирует, что </w:t>
      </w:r>
      <w:r>
        <w:rPr>
          <w:b/>
          <w:bCs/>
          <w:sz w:val="30"/>
          <w:szCs w:val="30"/>
        </w:rPr>
        <w:t>с</w:t>
      </w:r>
      <w:r w:rsidR="00E047EC">
        <w:rPr>
          <w:b/>
          <w:bCs/>
          <w:sz w:val="30"/>
          <w:szCs w:val="30"/>
        </w:rPr>
        <w:t xml:space="preserve"> </w:t>
      </w:r>
      <w:r w:rsidR="00E047EC">
        <w:rPr>
          <w:rFonts w:ascii="TimesNewRomanPSMT" w:hAnsi="TimesNewRomanPSMT" w:cs="TimesNewRomanPSMT"/>
          <w:sz w:val="30"/>
          <w:szCs w:val="30"/>
        </w:rPr>
        <w:t xml:space="preserve">что </w:t>
      </w:r>
      <w:r w:rsidR="00E047EC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 03.03.2025 </w:t>
      </w:r>
      <w:r w:rsidR="00E047EC">
        <w:rPr>
          <w:rFonts w:ascii="TimesNewRomanPSMT" w:hAnsi="TimesNewRomanPSMT" w:cs="TimesNewRomanPSMT"/>
          <w:sz w:val="30"/>
          <w:szCs w:val="30"/>
        </w:rPr>
        <w:t>обеспечено информационное взаимодействие между ООО «Оператор-</w:t>
      </w:r>
      <w:r w:rsidR="00E047EC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="00E047EC">
        <w:rPr>
          <w:rFonts w:ascii="TimesNewRomanPSMT" w:hAnsi="TimesNewRomanPSMT" w:cs="TimesNewRomanPSMT"/>
          <w:sz w:val="30"/>
          <w:szCs w:val="30"/>
        </w:rPr>
        <w:t>ЦРПТ» и РУП «Издательство «</w:t>
      </w:r>
      <w:proofErr w:type="spellStart"/>
      <w:r w:rsidR="00E047EC"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 w:rsidR="00E047EC">
        <w:rPr>
          <w:rFonts w:ascii="TimesNewRomanPSMT" w:hAnsi="TimesNewRomanPSMT" w:cs="TimesNewRomanPSMT"/>
          <w:sz w:val="30"/>
          <w:szCs w:val="30"/>
        </w:rPr>
        <w:t>» в целях предоставления</w:t>
      </w:r>
      <w:r w:rsidR="00E047EC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="00E047EC">
        <w:rPr>
          <w:rFonts w:ascii="TimesNewRomanPSMT" w:hAnsi="TimesNewRomanPSMT" w:cs="TimesNewRomanPSMT"/>
          <w:sz w:val="30"/>
          <w:szCs w:val="30"/>
        </w:rPr>
        <w:t>кодов маркировки российского образца белорусским субъектам</w:t>
      </w:r>
      <w:r w:rsidR="00E047EC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="00E047EC">
        <w:rPr>
          <w:rFonts w:ascii="TimesNewRomanPSMT" w:hAnsi="TimesNewRomanPSMT" w:cs="TimesNewRomanPSMT"/>
          <w:sz w:val="30"/>
          <w:szCs w:val="30"/>
        </w:rPr>
        <w:t>хозяйствования для маркировки:</w:t>
      </w: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антисептиков и дезинфицирующих средств;</w:t>
      </w: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велосипедов и велосипедных рам;</w:t>
      </w: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икры осетровых и лососевых,</w:t>
      </w: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подлежащих маркировке Российской Федерации и поставляемых на ее территорию.</w:t>
      </w: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Справочно. В отношении антисептиков и дезинфицирующих средств принято постановление Правительства Российской Федерации от 30.05.2023 № 870 «Об утверждении Правил маркировки парфюмерно- 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средств», в соответствии с которым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>с 01.10.2023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введена маркировка антисептиков и дезинфицирующих средств, классифицируемых следующими кодами единой Товарной номенклатуры внешнеэкономической деятельности Евразийского экономического союза (далее – ТН ВЭД ЕАЭС): 3304 99 000 0, 3808 94 800 0.</w:t>
      </w: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В отношении велосипедов и велосипедных рам принято постановление Правительства Российской Федерации от 23.05.2024 № 645 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рам», в соответствии с которым маркировке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 xml:space="preserve">с 01.09.2024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подлежат велосипеды и велосипедные рамы, классифицируемые следующими кодами ТН ВЭД ЕАЭС: 8711, 8712 00, 8714 91 100 и 9503 00 100 9.</w:t>
      </w: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lastRenderedPageBreak/>
        <w:t xml:space="preserve">В отношении икры осетровых и лососевых принято постановление Правительства Российской Федерации от 29.11.2023 № 2028 «Об утверждении Правил маркировки икры осетровых и икры лососевых (красной икры)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икры осетровых и икры лососевых (красной икры)», в соответствии с которым маркировке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 xml:space="preserve">с 01.05.2024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подлежит икра осетровых и лососевых, классифицируемая следующими кодами ТН ВЭД ЕАЭС: 1604 31 000 0, 1604 32 001 0, 0302 91 000 0, 0303 91 100 0, 0303 91 900 0, 0305 20 000 0.</w:t>
      </w: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Таким образом, субъектам хозяйствования-резидентам Республики Беларусь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 03.03.2025 </w:t>
      </w:r>
      <w:r>
        <w:rPr>
          <w:rFonts w:ascii="TimesNewRomanPSMT" w:hAnsi="TimesNewRomanPSMT" w:cs="TimesNewRomanPSMT"/>
          <w:sz w:val="30"/>
          <w:szCs w:val="30"/>
        </w:rPr>
        <w:t>предоставлена возможность получения кодов маркировки российского образца у национального оператора системы маркировки РУП «Издательство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 для осуществления маркировки указанных товаров, поставляемых в Российскую Федерацию.</w:t>
      </w: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Одновременно сообщаем, что в соответствии с пунктом 7.4.4. публичного договора, размещенного на сайте оператора государственной информационной системы маркировки товаров унифицированными контрольными знаками или средствами идентификации РУП «Издательство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 (далее – система маркировки) в сети Интернет по адресу https://datamark.by, оплата услуг по предоставлению и учету кодов маркировки российского образца осуществляется посредством перечисления заказчиком (субъектом хозяйствования Республики Беларусь) денежных средств на расчетный счет РУП «Издательство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 не позднее 25 числа месяца, следующего за отчетным периодом на основании Акта оказанных услуг, сформированного оператором и направленного заказчику.</w:t>
      </w:r>
    </w:p>
    <w:p w:rsidR="00E047EC" w:rsidRPr="00E047EC" w:rsidRDefault="00E047EC" w:rsidP="00080EB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Так, в частности, согласно публичному договору РУП «Издательство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» на основании данных системы маркировки по итогам месяца формирует Акт оказанных услуг, содержащий количество полученных белорусским субъектом хозяйствования в течение данного месяца кодов маркировки российского образца. Акт направляется субъекту хозяйствования в </w:t>
      </w:r>
      <w:r w:rsidRPr="00E047EC">
        <w:rPr>
          <w:rFonts w:ascii="TimesNewRomanPSMT" w:hAnsi="TimesNewRomanPSMT" w:cs="TimesNewRomanPSMT"/>
          <w:sz w:val="30"/>
          <w:szCs w:val="30"/>
        </w:rPr>
        <w:t>течение 5 календарных дней по окончании каждого</w:t>
      </w:r>
      <w:r w:rsidR="00080EB9">
        <w:rPr>
          <w:rFonts w:ascii="TimesNewRomanPSMT" w:hAnsi="TimesNewRomanPSMT" w:cs="TimesNewRomanPSMT"/>
          <w:sz w:val="30"/>
          <w:szCs w:val="30"/>
        </w:rPr>
        <w:t xml:space="preserve"> </w:t>
      </w:r>
      <w:r w:rsidRPr="00E047EC">
        <w:rPr>
          <w:rFonts w:ascii="TimesNewRomanPSMT" w:hAnsi="TimesNewRomanPSMT" w:cs="TimesNewRomanPSMT"/>
          <w:sz w:val="30"/>
          <w:szCs w:val="30"/>
        </w:rPr>
        <w:t>календарного месяца (отчетного месяца), оплата осуществляется на</w:t>
      </w:r>
      <w:r w:rsidR="00080EB9">
        <w:rPr>
          <w:rFonts w:ascii="TimesNewRomanPSMT" w:hAnsi="TimesNewRomanPSMT" w:cs="TimesNewRomanPSMT"/>
          <w:sz w:val="30"/>
          <w:szCs w:val="30"/>
        </w:rPr>
        <w:t xml:space="preserve"> </w:t>
      </w:r>
      <w:r w:rsidRPr="00E047EC">
        <w:rPr>
          <w:rFonts w:ascii="TimesNewRomanPSMT" w:hAnsi="TimesNewRomanPSMT" w:cs="TimesNewRomanPSMT"/>
          <w:sz w:val="30"/>
          <w:szCs w:val="30"/>
        </w:rPr>
        <w:t>основании Акта не позднее 25 числа месяца, следующего за отчетным</w:t>
      </w:r>
      <w:r w:rsidR="00080EB9">
        <w:rPr>
          <w:rFonts w:ascii="TimesNewRomanPSMT" w:hAnsi="TimesNewRomanPSMT" w:cs="TimesNewRomanPSMT"/>
          <w:sz w:val="30"/>
          <w:szCs w:val="30"/>
        </w:rPr>
        <w:t xml:space="preserve"> </w:t>
      </w:r>
      <w:r w:rsidRPr="00E047EC">
        <w:rPr>
          <w:rFonts w:ascii="TimesNewRomanPSMT" w:hAnsi="TimesNewRomanPSMT" w:cs="TimesNewRomanPSMT"/>
          <w:sz w:val="30"/>
          <w:szCs w:val="30"/>
        </w:rPr>
        <w:t>месяцем.</w:t>
      </w:r>
    </w:p>
    <w:p w:rsidR="00E047EC" w:rsidRDefault="00E047EC" w:rsidP="00E047EC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</w:p>
    <w:p w:rsidR="00823928" w:rsidRDefault="00823928" w:rsidP="00E047EC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Bidi"/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Инспекция Министерства по налогам</w:t>
      </w:r>
    </w:p>
    <w:p w:rsidR="00823928" w:rsidRDefault="00823928" w:rsidP="00E047EC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sz w:val="30"/>
          <w:szCs w:val="30"/>
        </w:rPr>
        <w:t xml:space="preserve">                                                 и сборам по Дзержинскому району</w:t>
      </w:r>
    </w:p>
    <w:p w:rsidR="00823928" w:rsidRDefault="00823928" w:rsidP="00E047EC">
      <w:pPr>
        <w:pStyle w:val="24"/>
        <w:shd w:val="clear" w:color="auto" w:fill="auto"/>
        <w:spacing w:after="0" w:line="240" w:lineRule="auto"/>
        <w:ind w:firstLine="709"/>
        <w:jc w:val="both"/>
        <w:rPr>
          <w:b/>
          <w:lang w:eastAsia="en-US"/>
        </w:rPr>
      </w:pPr>
    </w:p>
    <w:p w:rsidR="00823928" w:rsidRDefault="00823928" w:rsidP="00E047EC">
      <w:pPr>
        <w:ind w:firstLine="709"/>
        <w:jc w:val="both"/>
        <w:rPr>
          <w:b/>
          <w:bCs/>
          <w:noProof/>
          <w:szCs w:val="28"/>
        </w:rPr>
      </w:pPr>
    </w:p>
    <w:p w:rsidR="00823928" w:rsidRDefault="00823928" w:rsidP="00E047E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  <w:lang w:eastAsia="en-US"/>
        </w:rPr>
      </w:pPr>
    </w:p>
    <w:p w:rsidR="002F75EB" w:rsidRDefault="002F75EB" w:rsidP="00E047EC">
      <w:pPr>
        <w:ind w:firstLine="709"/>
        <w:jc w:val="both"/>
        <w:rPr>
          <w:b/>
          <w:bCs/>
          <w:noProof/>
          <w:szCs w:val="28"/>
        </w:rPr>
      </w:pPr>
    </w:p>
    <w:sectPr w:rsidR="002F75EB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04B" w:rsidRDefault="0032304B">
      <w:r>
        <w:separator/>
      </w:r>
    </w:p>
  </w:endnote>
  <w:endnote w:type="continuationSeparator" w:id="0">
    <w:p w:rsidR="0032304B" w:rsidRDefault="0032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04B" w:rsidRDefault="0032304B">
      <w:r>
        <w:separator/>
      </w:r>
    </w:p>
  </w:footnote>
  <w:footnote w:type="continuationSeparator" w:id="0">
    <w:p w:rsidR="0032304B" w:rsidRDefault="00323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7EC" w:rsidRDefault="00E047EC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047EC" w:rsidRDefault="00E047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6D8"/>
    <w:rsid w:val="00072A2E"/>
    <w:rsid w:val="00074B5C"/>
    <w:rsid w:val="0007590D"/>
    <w:rsid w:val="00075AF6"/>
    <w:rsid w:val="000765D5"/>
    <w:rsid w:val="0008046A"/>
    <w:rsid w:val="00080EB9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987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304B"/>
    <w:rsid w:val="0032492A"/>
    <w:rsid w:val="00325F44"/>
    <w:rsid w:val="0032682C"/>
    <w:rsid w:val="003313D9"/>
    <w:rsid w:val="003321A8"/>
    <w:rsid w:val="00333084"/>
    <w:rsid w:val="00334034"/>
    <w:rsid w:val="003347FB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40B3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332B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46990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3928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187B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C511A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047EC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583A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97C86D-7A0C-4BC1-8F00-0D305498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D9C9-3FDD-49CA-9A1C-273ED8A7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4691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55</cp:revision>
  <cp:lastPrinted>2025-01-16T06:06:00Z</cp:lastPrinted>
  <dcterms:created xsi:type="dcterms:W3CDTF">2023-02-06T11:47:00Z</dcterms:created>
  <dcterms:modified xsi:type="dcterms:W3CDTF">2025-03-24T11:37:00Z</dcterms:modified>
</cp:coreProperties>
</file>