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B10" w:rsidRPr="00157659" w:rsidRDefault="004F1C61" w:rsidP="00157659">
      <w:pPr>
        <w:autoSpaceDE w:val="0"/>
        <w:autoSpaceDN w:val="0"/>
        <w:adjustRightInd w:val="0"/>
        <w:ind w:firstLine="708"/>
        <w:jc w:val="both"/>
        <w:rPr>
          <w:b/>
          <w:bCs/>
          <w:noProof/>
          <w:szCs w:val="28"/>
        </w:rPr>
      </w:pPr>
      <w:r w:rsidRPr="00157659">
        <w:rPr>
          <w:b/>
          <w:sz w:val="30"/>
          <w:szCs w:val="30"/>
        </w:rPr>
        <w:t>И</w:t>
      </w:r>
      <w:r w:rsidR="00E24B10" w:rsidRPr="00157659">
        <w:rPr>
          <w:b/>
          <w:sz w:val="30"/>
          <w:szCs w:val="30"/>
        </w:rPr>
        <w:t>нформационное сообщение «Субъектам хозяйствования о приобретении (обновлении) кассового оборудования, соответствующего новым требованиям»</w:t>
      </w:r>
      <w:r w:rsidR="00E83C4B" w:rsidRPr="00157659">
        <w:rPr>
          <w:b/>
          <w:sz w:val="30"/>
          <w:szCs w:val="30"/>
        </w:rPr>
        <w:t>.</w:t>
      </w:r>
      <w:r w:rsidRPr="00157659">
        <w:rPr>
          <w:b/>
          <w:bCs/>
          <w:noProof/>
          <w:szCs w:val="28"/>
        </w:rPr>
        <w:t xml:space="preserve"> </w:t>
      </w:r>
    </w:p>
    <w:p w:rsidR="00E24B10" w:rsidRDefault="00E24B10" w:rsidP="00E24B10">
      <w:pPr>
        <w:ind w:firstLine="709"/>
        <w:rPr>
          <w:b/>
          <w:bCs/>
          <w:noProof/>
          <w:szCs w:val="28"/>
        </w:rPr>
      </w:pPr>
      <w:bookmarkStart w:id="0" w:name="_GoBack"/>
      <w:bookmarkEnd w:id="0"/>
    </w:p>
    <w:p w:rsidR="00E24B10" w:rsidRDefault="00E24B10" w:rsidP="00E24B10">
      <w:pPr>
        <w:pStyle w:val="24"/>
        <w:shd w:val="clear" w:color="auto" w:fill="auto"/>
        <w:spacing w:after="0" w:line="240" w:lineRule="auto"/>
        <w:ind w:firstLine="709"/>
        <w:jc w:val="both"/>
      </w:pPr>
      <w:r>
        <w:t>Во исполнение Союзной программы по интеграции информационных систем маркировки, утвержденной Декретом Высшего Государственного Совета Союзного государства от 04.11.2021 № 6 «Об Основных направлениях реализации положений Договора о создании Союзного государства на 2021 - 2023 годы» (далее - Союзная программа), и выполнения взятых на себя Республикой Беларусь обязательств в рамках интеграционных процессов в республике с декабря 2022 г. проводится работа по замене (обновлению) существующего парка кассового оборудования и программных касс (более 280 тысяч единиц) до соответствия новым требованиям, в том числе в целях учета операций по реализации товаров, подлежащих маркировке унифицированными контрольными знаками (далее - УКЗ) или средствами идентификации (далее - СИ).</w:t>
      </w:r>
    </w:p>
    <w:p w:rsidR="00E24B10" w:rsidRDefault="00E24B10" w:rsidP="00E24B10">
      <w:pPr>
        <w:pStyle w:val="40"/>
        <w:shd w:val="clear" w:color="auto" w:fill="auto"/>
        <w:spacing w:line="240" w:lineRule="auto"/>
        <w:ind w:firstLine="709"/>
      </w:pPr>
      <w:r>
        <w:t>Справочно. Такая работа проводится в рамках реализации постановления Совета Министров Республики Беларусь и Национального банка Республики Беларусь от 7 декабря 2022 г.</w:t>
      </w:r>
      <w:r>
        <w:rPr>
          <w:rStyle w:val="41"/>
        </w:rPr>
        <w:t xml:space="preserve"> № </w:t>
      </w:r>
      <w:r>
        <w:t>841/27 «Об изменении постановлений Совета Министров Республики Беларусь и Национального банка Республики Беларусь от 6 июля 2011 г.</w:t>
      </w:r>
      <w:r>
        <w:rPr>
          <w:rStyle w:val="41"/>
        </w:rPr>
        <w:t xml:space="preserve"> № </w:t>
      </w:r>
      <w:r>
        <w:t>924/16 и от 3 марта 2022 г. № 114/6» (далее - постановление № 841/27, постановление № 924/16).</w:t>
      </w:r>
    </w:p>
    <w:p w:rsidR="00E24B10" w:rsidRDefault="00E24B10" w:rsidP="00E24B10">
      <w:pPr>
        <w:pStyle w:val="24"/>
        <w:shd w:val="clear" w:color="auto" w:fill="auto"/>
        <w:spacing w:after="0" w:line="240" w:lineRule="auto"/>
        <w:ind w:firstLine="709"/>
        <w:jc w:val="both"/>
      </w:pPr>
      <w:r>
        <w:t xml:space="preserve">Несмотря на наличие доработанных до соответствия новым требованиям моделей кассовых суммирующих аппаратов и программных касс (по состоянию на 31.10.2024 в Государственный реестр моделей (модификаций) кассовых суммирующих аппаратов и специальных компьютерных систем, используемых на территории Республики Беларусь, включено </w:t>
      </w:r>
      <w:r>
        <w:rPr>
          <w:rStyle w:val="af3"/>
        </w:rPr>
        <w:t xml:space="preserve">13 моделей кассовых суммирующих аппаратов </w:t>
      </w:r>
      <w:r>
        <w:t xml:space="preserve">и допущено к использованию в Республике Беларусь </w:t>
      </w:r>
      <w:r>
        <w:rPr>
          <w:rStyle w:val="af3"/>
        </w:rPr>
        <w:t>15 моделей программных касс</w:t>
      </w:r>
      <w:r>
        <w:t>, соответствующих новым требованиям), со стороны субъектов хозяйствования наблюдается низкая активность в приобретении (обновлении) кассового оборудования, соответствующего новым требованиям. Об этом свидетельствуют поступающие в МНС обращения заявителей моделей (модификаций) кассовых суммирующих аппаратов в Государственный реестр, операторов программных кассовых систем и РУП «Информационно-издательский центр по налогам и сборам» (далее - РУП ИИЦ) с предложением оказать содействие в стимулировании субъектов хозяйствования по скорейшему проведению доработки используемого в торговых и иных объектах кассового оборудования до соответствия новым требованиям.</w:t>
      </w:r>
    </w:p>
    <w:p w:rsidR="00E24B10" w:rsidRDefault="00E24B10" w:rsidP="00E24B10">
      <w:pPr>
        <w:pStyle w:val="24"/>
        <w:shd w:val="clear" w:color="auto" w:fill="auto"/>
        <w:spacing w:after="0" w:line="240" w:lineRule="auto"/>
        <w:ind w:firstLine="709"/>
        <w:jc w:val="both"/>
      </w:pPr>
      <w:r>
        <w:t xml:space="preserve">При этом следует понимать, что процесс перехода на использование нового или доработанного кассового оборудования состоит не просто в его замене, а в принятии соответствующих организационных и управленческих мер, которые позволят субъектам хозяйствования работать в новых условиях, в том числе и с использованием нового кассового оборудования, в том числе при продаже маркированных товаров. Чтобы обеспечить бесшовный переход и не допустить срывов в работе либо приостановки с 01.07.2025 работы торговых </w:t>
      </w:r>
      <w:r>
        <w:lastRenderedPageBreak/>
        <w:t>объектов, необходимо заранее принять меры по замене кассового оборудования, его наладке, обучению персонала, а также решению всех вопросов, которые могут быть связаны с интеграцией данного оборудования как в учетные системы, так и в организацию рабочего процесса. Одномоментно это сделать невозможно - все необходимые подготовительные мероприятия должны быть реализованы заблаговременно. Это даст возможность заранее выявить проблемные вопросы, которые могут возникать у бизнеса в связи с внедрением новых систем, и не допустить сбоев из-за несвоевременного принятия необходимых мер.</w:t>
      </w:r>
    </w:p>
    <w:p w:rsidR="00E24B10" w:rsidRDefault="00E24B10" w:rsidP="00E24B10">
      <w:pPr>
        <w:pStyle w:val="24"/>
        <w:shd w:val="clear" w:color="auto" w:fill="auto"/>
        <w:spacing w:after="0" w:line="240" w:lineRule="auto"/>
        <w:ind w:firstLine="709"/>
        <w:jc w:val="both"/>
      </w:pPr>
      <w:r>
        <w:t>В этой связи принято решение об увеличении с 1 января 2025 года стоимости подключения кассового оборудования к системе контроля кассового оборудования (далее - СККО) в 5 раз, а также в 5 раз увеличения стоимости информационного обслуживания кассового оборудования, не соответствующего новым требованиям, что экономически мотивирует скорейшую организацию работы по обновлению кассового оборудования.</w:t>
      </w:r>
    </w:p>
    <w:p w:rsidR="00E24B10" w:rsidRDefault="00E24B10" w:rsidP="00E24B10">
      <w:pPr>
        <w:pStyle w:val="24"/>
        <w:shd w:val="clear" w:color="auto" w:fill="auto"/>
        <w:spacing w:after="0" w:line="240" w:lineRule="auto"/>
        <w:ind w:firstLine="709"/>
        <w:jc w:val="both"/>
      </w:pPr>
      <w:r>
        <w:t>При этом особо отмечаем, что такие повышенные тарифы будут применяться только с 2025 г.</w:t>
      </w:r>
    </w:p>
    <w:p w:rsidR="00E24B10" w:rsidRDefault="00E24B10" w:rsidP="00E24B10">
      <w:pPr>
        <w:pStyle w:val="24"/>
        <w:shd w:val="clear" w:color="auto" w:fill="auto"/>
        <w:spacing w:after="0" w:line="240" w:lineRule="auto"/>
        <w:ind w:firstLine="709"/>
        <w:jc w:val="both"/>
      </w:pPr>
    </w:p>
    <w:p w:rsidR="00E24B10" w:rsidRDefault="00E24B10" w:rsidP="00E24B10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Инспекция Министерства по налогам</w:t>
      </w:r>
    </w:p>
    <w:p w:rsidR="00E24B10" w:rsidRDefault="00E24B10" w:rsidP="00E24B10">
      <w:pPr>
        <w:autoSpaceDE w:val="0"/>
        <w:autoSpaceDN w:val="0"/>
        <w:adjustRightInd w:val="0"/>
        <w:ind w:firstLine="709"/>
        <w:jc w:val="both"/>
      </w:pPr>
      <w:r>
        <w:rPr>
          <w:b/>
          <w:sz w:val="30"/>
          <w:szCs w:val="30"/>
        </w:rPr>
        <w:t xml:space="preserve">                                                 и сборам по Дзержинскому району</w:t>
      </w:r>
    </w:p>
    <w:p w:rsidR="00E24B10" w:rsidRDefault="00E24B10" w:rsidP="00E24B10">
      <w:pPr>
        <w:pStyle w:val="24"/>
        <w:shd w:val="clear" w:color="auto" w:fill="auto"/>
        <w:spacing w:after="0" w:line="240" w:lineRule="auto"/>
        <w:ind w:firstLine="709"/>
        <w:jc w:val="both"/>
        <w:rPr>
          <w:lang w:eastAsia="en-US"/>
        </w:rPr>
      </w:pPr>
    </w:p>
    <w:p w:rsidR="00E24B10" w:rsidRPr="00001D85" w:rsidRDefault="00E24B10" w:rsidP="00E24B10">
      <w:pPr>
        <w:ind w:firstLine="709"/>
        <w:jc w:val="both"/>
        <w:rPr>
          <w:b/>
          <w:bCs/>
          <w:noProof/>
          <w:szCs w:val="28"/>
        </w:rPr>
      </w:pPr>
    </w:p>
    <w:sectPr w:rsidR="00E24B10" w:rsidRPr="00001D85" w:rsidSect="00157659">
      <w:headerReference w:type="even" r:id="rId8"/>
      <w:headerReference w:type="first" r:id="rId9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7BF" w:rsidRDefault="007127BF">
      <w:r>
        <w:separator/>
      </w:r>
    </w:p>
  </w:endnote>
  <w:endnote w:type="continuationSeparator" w:id="0">
    <w:p w:rsidR="007127BF" w:rsidRDefault="0071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7BF" w:rsidRDefault="007127BF">
      <w:r>
        <w:separator/>
      </w:r>
    </w:p>
  </w:footnote>
  <w:footnote w:type="continuationSeparator" w:id="0">
    <w:p w:rsidR="007127BF" w:rsidRDefault="00712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3828"/>
      <w:gridCol w:w="1920"/>
      <w:gridCol w:w="4080"/>
    </w:tblGrid>
    <w:tr w:rsidR="00C65066" w:rsidTr="00D83F71">
      <w:trPr>
        <w:trHeight w:val="429"/>
      </w:trPr>
      <w:tc>
        <w:tcPr>
          <w:tcW w:w="3828" w:type="dxa"/>
        </w:tcPr>
        <w:p w:rsidR="00D83F71" w:rsidRDefault="00D83F71" w:rsidP="00DA04F8">
          <w:pPr>
            <w:jc w:val="center"/>
            <w:rPr>
              <w:sz w:val="20"/>
            </w:rPr>
          </w:pPr>
        </w:p>
        <w:p w:rsidR="00C65066" w:rsidRPr="00D83F71" w:rsidRDefault="00D83F71" w:rsidP="00D83F71">
          <w:pPr>
            <w:tabs>
              <w:tab w:val="left" w:pos="1140"/>
            </w:tabs>
            <w:rPr>
              <w:sz w:val="20"/>
            </w:rPr>
          </w:pPr>
          <w:r>
            <w:rPr>
              <w:sz w:val="20"/>
            </w:rPr>
            <w:tab/>
          </w:r>
        </w:p>
      </w:tc>
      <w:tc>
        <w:tcPr>
          <w:tcW w:w="1920" w:type="dxa"/>
        </w:tcPr>
        <w:p w:rsidR="00C65066" w:rsidRDefault="00C65066" w:rsidP="00DA04F8">
          <w:pPr>
            <w:jc w:val="center"/>
            <w:rPr>
              <w:b/>
              <w:sz w:val="24"/>
            </w:rPr>
          </w:pPr>
        </w:p>
      </w:tc>
      <w:tc>
        <w:tcPr>
          <w:tcW w:w="4080" w:type="dxa"/>
        </w:tcPr>
        <w:p w:rsidR="00C65066" w:rsidRPr="00BE1866" w:rsidRDefault="00C65066" w:rsidP="00DA04F8">
          <w:pPr>
            <w:jc w:val="center"/>
            <w:rPr>
              <w:sz w:val="24"/>
            </w:rPr>
          </w:pPr>
        </w:p>
      </w:tc>
    </w:tr>
  </w:tbl>
  <w:p w:rsidR="00C65066" w:rsidRDefault="00C65066" w:rsidP="004F1C61">
    <w:pPr>
      <w:tabs>
        <w:tab w:val="left" w:pos="528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5"/>
  </w:num>
  <w:num w:numId="5">
    <w:abstractNumId w:val="0"/>
  </w:num>
  <w:num w:numId="6">
    <w:abstractNumId w:val="8"/>
  </w:num>
  <w:num w:numId="7">
    <w:abstractNumId w:val="12"/>
  </w:num>
  <w:num w:numId="8">
    <w:abstractNumId w:val="10"/>
  </w:num>
  <w:num w:numId="9">
    <w:abstractNumId w:val="17"/>
  </w:num>
  <w:num w:numId="10">
    <w:abstractNumId w:val="7"/>
  </w:num>
  <w:num w:numId="11">
    <w:abstractNumId w:val="14"/>
  </w:num>
  <w:num w:numId="12">
    <w:abstractNumId w:val="11"/>
  </w:num>
  <w:num w:numId="13">
    <w:abstractNumId w:val="13"/>
  </w:num>
  <w:num w:numId="14">
    <w:abstractNumId w:val="1"/>
  </w:num>
  <w:num w:numId="15">
    <w:abstractNumId w:val="2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088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57659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0318"/>
    <w:rsid w:val="00211501"/>
    <w:rsid w:val="00211F7A"/>
    <w:rsid w:val="00213497"/>
    <w:rsid w:val="00213A3D"/>
    <w:rsid w:val="00216301"/>
    <w:rsid w:val="0021661D"/>
    <w:rsid w:val="00221A2E"/>
    <w:rsid w:val="00223313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1C61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7D2"/>
    <w:rsid w:val="006F0B3D"/>
    <w:rsid w:val="006F1CE3"/>
    <w:rsid w:val="006F4709"/>
    <w:rsid w:val="006F520A"/>
    <w:rsid w:val="006F79BA"/>
    <w:rsid w:val="00701321"/>
    <w:rsid w:val="00704E3B"/>
    <w:rsid w:val="0070595C"/>
    <w:rsid w:val="00705CCF"/>
    <w:rsid w:val="007127B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C7E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3F71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3C4B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7EF506E-E919-4FB8-B431-35EBFA5B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87D3E-60A9-4815-8F63-EA81D1479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4152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Явид Игорь</cp:lastModifiedBy>
  <cp:revision>6</cp:revision>
  <cp:lastPrinted>2024-11-15T08:28:00Z</cp:lastPrinted>
  <dcterms:created xsi:type="dcterms:W3CDTF">2024-11-19T06:00:00Z</dcterms:created>
  <dcterms:modified xsi:type="dcterms:W3CDTF">2024-11-19T06:08:00Z</dcterms:modified>
</cp:coreProperties>
</file>